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46.200001pt;margin-top:30pt;width:553.1pt;height:325.55pt;mso-position-horizontal-relative:page;mso-position-vertical-relative:page;z-index:-15870976" id="docshapegroup2" coordorigin="924,600" coordsize="11062,6511">
            <v:shape style="position:absolute;left:9744;top:5671;width:1440;height:1440" type="#_x0000_t75" id="docshape3" stroked="false">
              <v:imagedata r:id="rId6" o:title=""/>
            </v:shape>
            <v:shape style="position:absolute;left:10292;top:4092;width:1598;height:1512" type="#_x0000_t75" id="docshape4" alt="Explore Perris | Skydive Perris" stroked="false">
              <v:imagedata r:id="rId7" o:title=""/>
            </v:shape>
            <v:shape style="position:absolute;left:10416;top:2339;width:1570;height:1805" type="#_x0000_t75" id="docshape5" stroked="false">
              <v:imagedata r:id="rId8" o:title=""/>
            </v:shape>
            <v:shape style="position:absolute;left:7706;top:2340;width:2688;height:1439" type="#_x0000_t75" id="docshape6" alt="C:\Users\LPortillo\AppData\Local\Microsoft\Windows\INetCache\Content.Outlook\XPRQ9UMD\Chamber logo.jpeg" stroked="false">
              <v:imagedata r:id="rId9" o:title=""/>
            </v:shape>
            <v:shape style="position:absolute;left:5899;top:2354;width:1812;height:1510" type="#_x0000_t75" id="docshape7" stroked="false">
              <v:imagedata r:id="rId10" o:title=""/>
            </v:shape>
            <v:shape style="position:absolute;left:9588;top:600;width:1973;height:1740" type="#_x0000_t75" id="docshape8" stroked="false">
              <v:imagedata r:id="rId11" o:title=""/>
            </v:shape>
            <v:shape style="position:absolute;left:7272;top:732;width:2316;height:1439" type="#_x0000_t75" id="docshape9" alt="\\Ieepserver2\ieep\IEEP Shared\IEEP Public Policy\Inland Empire Chamber Alliance\Logos\Corona Chamber Logo.png" stroked="false">
              <v:imagedata r:id="rId12" o:title=""/>
            </v:shape>
            <v:shape style="position:absolute;left:5224;top:662;width:2160;height:1582" type="#_x0000_t75" id="docshape10" stroked="false">
              <v:imagedata r:id="rId13" o:title=""/>
            </v:shape>
            <v:shape style="position:absolute;left:2532;top:732;width:2692;height:1512" type="#_x0000_t75" id="docshape11" stroked="false">
              <v:imagedata r:id="rId14" o:title=""/>
            </v:shape>
            <v:shape style="position:absolute;left:924;top:828;width:1540;height:1512" type="#_x0000_t75" id="docshape12" alt="Beaumont Chamber of Commerce Installation Dinner | Banning, CA Patch" stroked="false">
              <v:imagedata r:id="rId1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09343" cy="804672"/>
            <wp:effectExtent l="0" t="0" r="0" b="0"/>
            <wp:docPr id="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7"/>
          <w:sz w:val="20"/>
        </w:rPr>
        <w:t> </w:t>
      </w:r>
      <w:r>
        <w:rPr>
          <w:spacing w:val="7"/>
          <w:position w:val="16"/>
          <w:sz w:val="20"/>
        </w:rPr>
        <w:drawing>
          <wp:inline distT="0" distB="0" distL="0" distR="0">
            <wp:extent cx="1762909" cy="705802"/>
            <wp:effectExtent l="0" t="0" r="0" b="0"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909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16"/>
          <w:sz w:val="20"/>
        </w:rPr>
      </w:r>
    </w:p>
    <w:p>
      <w:pPr>
        <w:pStyle w:val="BodyText"/>
        <w:spacing w:before="9"/>
        <w:rPr>
          <w:sz w:val="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353397</wp:posOffset>
            </wp:positionH>
            <wp:positionV relativeFrom="paragraph">
              <wp:posOffset>72688</wp:posOffset>
            </wp:positionV>
            <wp:extent cx="924904" cy="921543"/>
            <wp:effectExtent l="0" t="0" r="0" b="0"/>
            <wp:wrapTopAndBottom/>
            <wp:docPr id="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904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1333500</wp:posOffset>
            </wp:positionH>
            <wp:positionV relativeFrom="paragraph">
              <wp:posOffset>175895</wp:posOffset>
            </wp:positionV>
            <wp:extent cx="1925122" cy="766952"/>
            <wp:effectExtent l="0" t="0" r="0" b="0"/>
            <wp:wrapTopAndBottom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122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1pt;margin-top:12.3pt;width:249.1pt;height:73.45pt;mso-position-horizontal-relative:page;mso-position-vertical-relative:paragraph;z-index:-15727616;mso-wrap-distance-left:0;mso-wrap-distance-right:0" id="docshapegroup13" coordorigin="5220,246" coordsize="4982,1469">
            <v:shape style="position:absolute;left:7668;top:247;width:2534;height:1468" type="#_x0000_t75" id="docshape14" alt="C:\Users\LPortillo\AppData\Local\Microsoft\Windows\INetCache\Content.Outlook\9I93NSG7\MWCC-hacked-stacked-logo-v1.png" stroked="false">
              <v:imagedata r:id="rId20" o:title=""/>
            </v:shape>
            <v:shape style="position:absolute;left:5220;top:246;width:2448;height:1224" type="#_x0000_t75" id="docshape15" stroked="false">
              <v:imagedata r:id="rId21" o:title=""/>
            </v:shape>
            <w10:wrap type="topAndBottom"/>
          </v:group>
        </w:pict>
      </w:r>
      <w:r>
        <w:rPr/>
        <w:pict>
          <v:group style="position:absolute;margin-left:40.900002pt;margin-top:90.400002pt;width:160.050pt;height:79.45pt;mso-position-horizontal-relative:page;mso-position-vertical-relative:paragraph;z-index:-15727104;mso-wrap-distance-left:0;mso-wrap-distance-right:0" id="docshapegroup16" coordorigin="818,1808" coordsize="3201,1589">
            <v:shape style="position:absolute;left:2464;top:1842;width:1555;height:1555" type="#_x0000_t75" id="docshape17" alt="I:\IEEP Shared\IEEP Public Policy\Inland Empire Chamber Alliance\Logos\Rancho Cucamonga Chamber of Commerce.png" stroked="false">
              <v:imagedata r:id="rId22" o:title=""/>
            </v:shape>
            <v:shape style="position:absolute;left:818;top:1808;width:1584;height:1584" type="#_x0000_t75" id="docshape18" stroked="false">
              <v:imagedata r:id="rId2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2657470</wp:posOffset>
            </wp:positionH>
            <wp:positionV relativeFrom="paragraph">
              <wp:posOffset>1245311</wp:posOffset>
            </wp:positionV>
            <wp:extent cx="1782346" cy="777716"/>
            <wp:effectExtent l="0" t="0" r="0" b="0"/>
            <wp:wrapTopAndBottom/>
            <wp:docPr id="9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346" cy="77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4491244</wp:posOffset>
            </wp:positionH>
            <wp:positionV relativeFrom="paragraph">
              <wp:posOffset>1272539</wp:posOffset>
            </wp:positionV>
            <wp:extent cx="1589878" cy="745426"/>
            <wp:effectExtent l="0" t="0" r="0" b="0"/>
            <wp:wrapTopAndBottom/>
            <wp:docPr id="11" name="image20.png" descr="Temecula Valley Chamber of Commerce – SWCLC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878" cy="74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6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90"/>
        <w:ind w:left="956"/>
      </w:pPr>
      <w:r>
        <w:rPr/>
        <w:t>May</w:t>
      </w:r>
      <w:r>
        <w:rPr>
          <w:spacing w:val="-5"/>
        </w:rPr>
        <w:t> </w:t>
      </w:r>
      <w:r>
        <w:rPr/>
        <w:t>25, 2021</w:t>
      </w:r>
    </w:p>
    <w:p>
      <w:pPr>
        <w:pStyle w:val="BodyText"/>
      </w:pPr>
    </w:p>
    <w:p>
      <w:pPr>
        <w:pStyle w:val="BodyText"/>
        <w:ind w:left="956" w:right="6652"/>
      </w:pPr>
      <w:r>
        <w:rPr/>
        <w:t>The Honorable Lorena Gonzalez</w:t>
      </w:r>
      <w:r>
        <w:rPr>
          <w:spacing w:val="-58"/>
        </w:rPr>
        <w:t> </w:t>
      </w:r>
      <w:r>
        <w:rPr/>
        <w:t>California</w:t>
      </w:r>
      <w:r>
        <w:rPr>
          <w:spacing w:val="-1"/>
        </w:rPr>
        <w:t> </w:t>
      </w:r>
      <w:r>
        <w:rPr/>
        <w:t>State Assembly</w:t>
      </w:r>
    </w:p>
    <w:p>
      <w:pPr>
        <w:pStyle w:val="BodyText"/>
        <w:spacing w:before="1"/>
        <w:ind w:left="956" w:right="7327"/>
      </w:pPr>
      <w:r>
        <w:rPr/>
        <w:t>State</w:t>
      </w:r>
      <w:r>
        <w:rPr>
          <w:spacing w:val="-7"/>
        </w:rPr>
        <w:t> </w:t>
      </w:r>
      <w:r>
        <w:rPr/>
        <w:t>Capitol,</w:t>
      </w:r>
      <w:r>
        <w:rPr>
          <w:spacing w:val="-5"/>
        </w:rPr>
        <w:t> </w:t>
      </w:r>
      <w:r>
        <w:rPr/>
        <w:t>Room</w:t>
      </w:r>
      <w:r>
        <w:rPr>
          <w:spacing w:val="-5"/>
        </w:rPr>
        <w:t> </w:t>
      </w:r>
      <w:r>
        <w:rPr/>
        <w:t>2114</w:t>
      </w:r>
      <w:r>
        <w:rPr>
          <w:spacing w:val="-57"/>
        </w:rPr>
        <w:t> </w:t>
      </w:r>
      <w:r>
        <w:rPr/>
        <w:t>Sacramento,</w:t>
      </w:r>
      <w:r>
        <w:rPr>
          <w:spacing w:val="-1"/>
        </w:rPr>
        <w:t> </w:t>
      </w:r>
      <w:r>
        <w:rPr/>
        <w:t>CA</w:t>
      </w:r>
      <w:r>
        <w:rPr>
          <w:spacing w:val="-1"/>
        </w:rPr>
        <w:t> </w:t>
      </w:r>
      <w:r>
        <w:rPr/>
        <w:t>95814</w:t>
      </w:r>
    </w:p>
    <w:p>
      <w:pPr>
        <w:pStyle w:val="BodyText"/>
        <w:spacing w:before="4"/>
      </w:pPr>
    </w:p>
    <w:p>
      <w:pPr>
        <w:pStyle w:val="Title"/>
      </w:pPr>
      <w:r>
        <w:rPr/>
        <w:t>Re:</w:t>
      </w:r>
      <w:r>
        <w:rPr>
          <w:spacing w:val="-3"/>
        </w:rPr>
        <w:t> </w:t>
      </w:r>
      <w:r>
        <w:rPr/>
        <w:t>AB</w:t>
      </w:r>
      <w:r>
        <w:rPr>
          <w:spacing w:val="-2"/>
        </w:rPr>
        <w:t> </w:t>
      </w:r>
      <w:r>
        <w:rPr/>
        <w:t>701</w:t>
      </w:r>
      <w:r>
        <w:rPr>
          <w:spacing w:val="-1"/>
        </w:rPr>
        <w:t> </w:t>
      </w:r>
      <w:r>
        <w:rPr/>
        <w:t>(Gonzalez):</w:t>
      </w:r>
      <w:r>
        <w:rPr>
          <w:spacing w:val="-1"/>
        </w:rPr>
        <w:t> </w:t>
      </w:r>
      <w:r>
        <w:rPr/>
        <w:t>Warehouse</w:t>
      </w:r>
      <w:r>
        <w:rPr>
          <w:spacing w:val="-3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centers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OPPOSE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956"/>
      </w:pPr>
      <w:r>
        <w:rPr/>
        <w:t>Dear</w:t>
      </w:r>
      <w:r>
        <w:rPr>
          <w:spacing w:val="1"/>
        </w:rPr>
        <w:t> </w:t>
      </w:r>
      <w:r>
        <w:rPr/>
        <w:t>Assembly</w:t>
      </w:r>
      <w:r>
        <w:rPr>
          <w:spacing w:val="-5"/>
        </w:rPr>
        <w:t> </w:t>
      </w:r>
      <w:r>
        <w:rPr/>
        <w:t>Member</w:t>
      </w:r>
      <w:r>
        <w:rPr>
          <w:spacing w:val="1"/>
        </w:rPr>
        <w:t> </w:t>
      </w:r>
      <w:r>
        <w:rPr/>
        <w:t>Gonzalez:</w:t>
      </w:r>
    </w:p>
    <w:p>
      <w:pPr>
        <w:pStyle w:val="BodyText"/>
      </w:pPr>
    </w:p>
    <w:p>
      <w:pPr>
        <w:pStyle w:val="BodyText"/>
        <w:ind w:left="956" w:right="427"/>
      </w:pPr>
      <w:r>
        <w:rPr/>
        <w:t>On behalf of the above business organizations in the Inland Empire, we write to express our</w:t>
      </w:r>
      <w:r>
        <w:rPr>
          <w:spacing w:val="1"/>
        </w:rPr>
        <w:t> </w:t>
      </w:r>
      <w:r>
        <w:rPr/>
        <w:t>opposition to your bill, AB 701, which would subject warehouse employers to frivolous litigation</w:t>
      </w:r>
      <w:r>
        <w:rPr>
          <w:spacing w:val="-57"/>
        </w:rPr>
        <w:t> </w:t>
      </w:r>
      <w:r>
        <w:rPr/>
        <w:t>based on vague standards and a never-ending presumption of retaliation.</w:t>
      </w:r>
      <w:r>
        <w:rPr>
          <w:spacing w:val="1"/>
        </w:rPr>
        <w:t> </w:t>
      </w:r>
      <w:r>
        <w:rPr/>
        <w:t>It would also prohibit</w:t>
      </w:r>
      <w:r>
        <w:rPr>
          <w:spacing w:val="1"/>
        </w:rPr>
        <w:t> </w:t>
      </w:r>
      <w:r>
        <w:rPr/>
        <w:t>warehouse employers from taking disciplinary action against an employee if performance metrics</w:t>
      </w:r>
      <w:r>
        <w:rPr>
          <w:spacing w:val="-58"/>
        </w:rPr>
        <w:t> </w:t>
      </w:r>
      <w:r>
        <w:rPr/>
        <w:t>are</w:t>
      </w:r>
      <w:r>
        <w:rPr>
          <w:spacing w:val="-3"/>
        </w:rPr>
        <w:t> </w:t>
      </w:r>
      <w:r>
        <w:rPr/>
        <w:t>not in writing.</w:t>
      </w:r>
    </w:p>
    <w:p>
      <w:pPr>
        <w:pStyle w:val="BodyText"/>
        <w:spacing w:before="1"/>
      </w:pPr>
    </w:p>
    <w:p>
      <w:pPr>
        <w:pStyle w:val="BodyText"/>
        <w:ind w:left="956" w:right="320"/>
      </w:pPr>
      <w:r>
        <w:rPr/>
        <w:t>AB 701 starts with a false premise – that workplace performance metrics are inherently unsafe and</w:t>
      </w:r>
      <w:r>
        <w:rPr>
          <w:spacing w:val="-58"/>
        </w:rPr>
        <w:t> </w:t>
      </w:r>
      <w:r>
        <w:rPr/>
        <w:t>correlated with workplace injuries. All jobs, across all industries, have performance or production</w:t>
      </w:r>
      <w:r>
        <w:rPr>
          <w:spacing w:val="1"/>
        </w:rPr>
        <w:t> </w:t>
      </w:r>
      <w:r>
        <w:rPr/>
        <w:t>measurements to assist the employer in meeting the goals and obligations of the business to</w:t>
      </w:r>
      <w:r>
        <w:rPr>
          <w:spacing w:val="1"/>
        </w:rPr>
        <w:t> </w:t>
      </w:r>
      <w:r>
        <w:rPr/>
        <w:t>customers and business partners.</w:t>
      </w:r>
      <w:r>
        <w:rPr>
          <w:spacing w:val="1"/>
        </w:rPr>
        <w:t> </w:t>
      </w:r>
      <w:r>
        <w:rPr/>
        <w:t>Importantly, an employer who implements a quota that forces</w:t>
      </w:r>
      <w:r>
        <w:rPr>
          <w:spacing w:val="1"/>
        </w:rPr>
        <w:t> </w:t>
      </w:r>
      <w:r>
        <w:rPr/>
        <w:t>employees to flout existing</w:t>
      </w:r>
      <w:r>
        <w:rPr>
          <w:spacing w:val="-3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 safety</w:t>
      </w:r>
      <w:r>
        <w:rPr>
          <w:spacing w:val="-5"/>
        </w:rPr>
        <w:t> </w:t>
      </w:r>
      <w:r>
        <w:rPr/>
        <w:t>laws</w:t>
      </w:r>
      <w:r>
        <w:rPr>
          <w:spacing w:val="2"/>
        </w:rPr>
        <w:t> </w:t>
      </w:r>
      <w:r>
        <w:rPr/>
        <w:t>is</w:t>
      </w:r>
      <w:r>
        <w:rPr>
          <w:spacing w:val="-1"/>
        </w:rPr>
        <w:t> </w:t>
      </w:r>
      <w:r>
        <w:rPr/>
        <w:t>already</w:t>
      </w:r>
      <w:r>
        <w:rPr>
          <w:spacing w:val="-5"/>
        </w:rPr>
        <w:t> </w:t>
      </w:r>
      <w:r>
        <w:rPr/>
        <w:t>in violation of</w:t>
      </w:r>
      <w:r>
        <w:rPr>
          <w:spacing w:val="1"/>
        </w:rPr>
        <w:t> </w:t>
      </w:r>
      <w:r>
        <w:rPr/>
        <w:t>California</w:t>
      </w:r>
      <w:r>
        <w:rPr>
          <w:spacing w:val="-1"/>
        </w:rPr>
        <w:t> </w:t>
      </w:r>
      <w:r>
        <w:rPr/>
        <w:t>law.</w:t>
      </w:r>
    </w:p>
    <w:p>
      <w:pPr>
        <w:pStyle w:val="BodyText"/>
        <w:ind w:left="956" w:right="241"/>
      </w:pPr>
      <w:r>
        <w:rPr/>
        <w:t>California already requires all employers to provide a safe workplace, develop and update an Injury</w:t>
      </w:r>
      <w:r>
        <w:rPr>
          <w:spacing w:val="-57"/>
        </w:rPr>
        <w:t> </w:t>
      </w:r>
      <w:r>
        <w:rPr/>
        <w:t>and Illness Prevention Program, inspect the workplace to correct any unsafe or hazardous</w:t>
      </w:r>
      <w:r>
        <w:rPr>
          <w:spacing w:val="1"/>
        </w:rPr>
        <w:t> </w:t>
      </w:r>
      <w:r>
        <w:rPr/>
        <w:t>conditions,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much more;</w:t>
      </w:r>
      <w:r>
        <w:rPr>
          <w:spacing w:val="-1"/>
        </w:rPr>
        <w:t> </w:t>
      </w:r>
      <w:r>
        <w:rPr/>
        <w:t>warehouse</w:t>
      </w:r>
      <w:r>
        <w:rPr>
          <w:spacing w:val="-1"/>
        </w:rPr>
        <w:t> </w:t>
      </w:r>
      <w:r>
        <w:rPr/>
        <w:t>employers are</w:t>
      </w:r>
      <w:r>
        <w:rPr>
          <w:spacing w:val="-3"/>
        </w:rPr>
        <w:t> </w:t>
      </w:r>
      <w:r>
        <w:rPr/>
        <w:t>not exempt</w:t>
      </w:r>
      <w:r>
        <w:rPr>
          <w:spacing w:val="-1"/>
        </w:rPr>
        <w:t> </w:t>
      </w:r>
      <w:r>
        <w:rPr/>
        <w:t>from such</w:t>
      </w:r>
      <w:r>
        <w:rPr>
          <w:spacing w:val="-1"/>
        </w:rPr>
        <w:t> </w:t>
      </w:r>
      <w:r>
        <w:rPr/>
        <w:t>requirements.</w:t>
      </w:r>
      <w:r>
        <w:rPr>
          <w:spacing w:val="-1"/>
        </w:rPr>
        <w:t> </w:t>
      </w:r>
      <w:r>
        <w:rPr/>
        <w:t>An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76" w:header="0" w:top="600" w:bottom="1160" w:left="340" w:right="1120"/>
          <w:pgNumType w:start="1"/>
        </w:sectPr>
      </w:pPr>
    </w:p>
    <w:p>
      <w:pPr>
        <w:pStyle w:val="BodyText"/>
        <w:spacing w:before="60"/>
        <w:ind w:left="956" w:right="293"/>
      </w:pPr>
      <w:r>
        <w:rPr/>
        <w:t>employee who believes their employer is not following these long-established laws may report that</w:t>
      </w:r>
      <w:r>
        <w:rPr>
          <w:spacing w:val="-57"/>
        </w:rPr>
        <w:t> </w:t>
      </w:r>
      <w:r>
        <w:rPr/>
        <w:t>violation</w:t>
      </w:r>
      <w:r>
        <w:rPr>
          <w:spacing w:val="-1"/>
        </w:rPr>
        <w:t> </w:t>
      </w:r>
      <w:r>
        <w:rPr/>
        <w:t>and already</w:t>
      </w:r>
      <w:r>
        <w:rPr>
          <w:spacing w:val="-5"/>
        </w:rPr>
        <w:t> </w:t>
      </w:r>
      <w:r>
        <w:rPr/>
        <w:t>has</w:t>
      </w:r>
      <w:r>
        <w:rPr>
          <w:spacing w:val="2"/>
        </w:rPr>
        <w:t> </w:t>
      </w:r>
      <w:r>
        <w:rPr/>
        <w:t>protections from retaliation 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so.</w:t>
      </w:r>
    </w:p>
    <w:p>
      <w:pPr>
        <w:pStyle w:val="BodyText"/>
      </w:pPr>
    </w:p>
    <w:p>
      <w:pPr>
        <w:pStyle w:val="BodyText"/>
        <w:ind w:left="956" w:right="262"/>
      </w:pPr>
      <w:r>
        <w:rPr/>
        <w:t>AB</w:t>
      </w:r>
      <w:r>
        <w:rPr>
          <w:spacing w:val="-4"/>
        </w:rPr>
        <w:t> </w:t>
      </w:r>
      <w:r>
        <w:rPr/>
        <w:t>701</w:t>
      </w:r>
      <w:r>
        <w:rPr>
          <w:spacing w:val="-1"/>
        </w:rPr>
        <w:t> </w:t>
      </w:r>
      <w:r>
        <w:rPr/>
        <w:t>creates new</w:t>
      </w:r>
      <w:r>
        <w:rPr>
          <w:spacing w:val="-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employers to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 array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notices at</w:t>
      </w:r>
      <w:r>
        <w:rPr>
          <w:spacing w:val="-1"/>
        </w:rPr>
        <w:t> </w:t>
      </w:r>
      <w:r>
        <w:rPr/>
        <w:t>hiring,</w:t>
      </w:r>
      <w:r>
        <w:rPr>
          <w:spacing w:val="1"/>
        </w:rPr>
        <w:t> </w:t>
      </w:r>
      <w:r>
        <w:rPr/>
        <w:t>as 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on</w:t>
      </w:r>
      <w:r>
        <w:rPr>
          <w:spacing w:val="-57"/>
        </w:rPr>
        <w:t> </w:t>
      </w:r>
      <w:r>
        <w:rPr/>
        <w:t>a potentially daily basis related to exact workload expectations and long-term data. If an employer</w:t>
      </w:r>
      <w:r>
        <w:rPr>
          <w:spacing w:val="1"/>
        </w:rPr>
        <w:t> </w:t>
      </w:r>
      <w:r>
        <w:rPr/>
        <w:t>fails to provide these real-time notices, then the employee cannot be disciplined for their</w:t>
      </w:r>
      <w:r>
        <w:rPr>
          <w:spacing w:val="1"/>
        </w:rPr>
        <w:t> </w:t>
      </w:r>
      <w:r>
        <w:rPr/>
        <w:t>performance related to their working speed.</w:t>
      </w:r>
      <w:r>
        <w:rPr>
          <w:spacing w:val="1"/>
        </w:rPr>
        <w:t> </w:t>
      </w:r>
      <w:r>
        <w:rPr/>
        <w:t>Simply put, AB 701’s disclosure requirements are</w:t>
      </w:r>
      <w:r>
        <w:rPr>
          <w:spacing w:val="1"/>
        </w:rPr>
        <w:t> </w:t>
      </w:r>
      <w:r>
        <w:rPr/>
        <w:t>logistically infeasible for many warehouse operations. Performance measures are used to establish</w:t>
      </w:r>
      <w:r>
        <w:rPr>
          <w:spacing w:val="1"/>
        </w:rPr>
        <w:t> </w:t>
      </w:r>
      <w:r>
        <w:rPr/>
        <w:t>planning goals and help create projections for distribution of materials. Some workers may have</w:t>
      </w:r>
      <w:r>
        <w:rPr>
          <w:spacing w:val="1"/>
        </w:rPr>
        <w:t> </w:t>
      </w:r>
      <w:r>
        <w:rPr/>
        <w:t>individualized metrics they try to achieve, some may have metrics assigned to their entire team or</w:t>
      </w:r>
      <w:r>
        <w:rPr>
          <w:spacing w:val="1"/>
        </w:rPr>
        <w:t> </w:t>
      </w:r>
      <w:r>
        <w:rPr/>
        <w:t>their shift, or some may have no metrics at all. The variety here is considerable – making a one-</w:t>
      </w:r>
      <w:r>
        <w:rPr>
          <w:spacing w:val="1"/>
        </w:rPr>
        <w:t> </w:t>
      </w:r>
      <w:r>
        <w:rPr/>
        <w:t>size-fits-all</w:t>
      </w:r>
      <w:r>
        <w:rPr>
          <w:spacing w:val="-1"/>
        </w:rPr>
        <w:t> </w:t>
      </w:r>
      <w:r>
        <w:rPr/>
        <w:t>notice</w:t>
      </w:r>
      <w:r>
        <w:rPr>
          <w:spacing w:val="-1"/>
        </w:rPr>
        <w:t> </w:t>
      </w:r>
      <w:r>
        <w:rPr/>
        <w:t>requirement infeasible</w:t>
      </w:r>
      <w:r>
        <w:rPr>
          <w:spacing w:val="-1"/>
        </w:rPr>
        <w:t> </w:t>
      </w:r>
      <w:r>
        <w:rPr/>
        <w:t>in some</w:t>
      </w:r>
      <w:r>
        <w:rPr>
          <w:spacing w:val="1"/>
        </w:rPr>
        <w:t> </w:t>
      </w:r>
      <w:r>
        <w:rPr/>
        <w:t>cases.</w:t>
      </w:r>
    </w:p>
    <w:p>
      <w:pPr>
        <w:pStyle w:val="BodyText"/>
      </w:pPr>
    </w:p>
    <w:p>
      <w:pPr>
        <w:pStyle w:val="BodyText"/>
        <w:ind w:left="956" w:right="260"/>
      </w:pPr>
      <w:r>
        <w:rPr/>
        <w:t>In addition, where metrics are used to monitor productivity, they can also vary significantly</w:t>
      </w:r>
      <w:r>
        <w:rPr>
          <w:spacing w:val="1"/>
        </w:rPr>
        <w:t> </w:t>
      </w:r>
      <w:r>
        <w:rPr/>
        <w:t>depending on the product, facility, time of day, and even a specific workstation (which may change</w:t>
      </w:r>
      <w:r>
        <w:rPr>
          <w:spacing w:val="-58"/>
        </w:rPr>
        <w:t> </w:t>
      </w:r>
      <w:r>
        <w:rPr/>
        <w:t>frequently). For example – some workers may switch between tasks or workstations during their</w:t>
      </w:r>
      <w:r>
        <w:rPr>
          <w:spacing w:val="1"/>
        </w:rPr>
        <w:t> </w:t>
      </w:r>
      <w:r>
        <w:rPr/>
        <w:t>shift to help with unanticipated issues or fill gaps related to another worker’s availability. AB 701</w:t>
      </w:r>
      <w:r>
        <w:rPr>
          <w:spacing w:val="1"/>
        </w:rPr>
        <w:t> </w:t>
      </w:r>
      <w:r>
        <w:rPr/>
        <w:t>would, in these situations, require notice potentially multiple times in a day for a single employee</w:t>
      </w:r>
      <w:r>
        <w:rPr>
          <w:spacing w:val="1"/>
        </w:rPr>
        <w:t> </w:t>
      </w:r>
      <w:r>
        <w:rPr/>
        <w:t>prior to such assistance at another workstation. First, many employers do not have the ability to</w:t>
      </w:r>
      <w:r>
        <w:rPr>
          <w:spacing w:val="1"/>
        </w:rPr>
        <w:t> </w:t>
      </w:r>
      <w:r>
        <w:rPr/>
        <w:t>quickly generate a workflow estimate on a moment-to-moment basis to distribute whenever a</w:t>
      </w:r>
      <w:r>
        <w:rPr>
          <w:spacing w:val="1"/>
        </w:rPr>
        <w:t> </w:t>
      </w:r>
      <w:r>
        <w:rPr/>
        <w:t>worker assists at another station. Moreover, even if the data is readily accessible, the logistics of</w:t>
      </w:r>
      <w:r>
        <w:rPr>
          <w:spacing w:val="1"/>
        </w:rPr>
        <w:t> </w:t>
      </w:r>
      <w:r>
        <w:rPr/>
        <w:t>constantly distributing notices to employees as their shifts or stations change poses another major</w:t>
      </w:r>
      <w:r>
        <w:rPr>
          <w:spacing w:val="1"/>
        </w:rPr>
        <w:t> </w:t>
      </w:r>
      <w:r>
        <w:rPr/>
        <w:t>feasibility</w:t>
      </w:r>
      <w:r>
        <w:rPr>
          <w:spacing w:val="-6"/>
        </w:rPr>
        <w:t> </w:t>
      </w:r>
      <w:r>
        <w:rPr/>
        <w:t>challenge.</w:t>
      </w:r>
    </w:p>
    <w:p>
      <w:pPr>
        <w:pStyle w:val="BodyText"/>
        <w:spacing w:before="1"/>
      </w:pPr>
    </w:p>
    <w:p>
      <w:pPr>
        <w:pStyle w:val="BodyText"/>
        <w:ind w:left="956"/>
      </w:pPr>
      <w:r>
        <w:rPr/>
        <w:t>AB 701 requires Cal/OSHA staff to prepare and to propose a new regulatory standard specific to</w:t>
      </w:r>
      <w:r>
        <w:rPr>
          <w:spacing w:val="1"/>
        </w:rPr>
        <w:t> </w:t>
      </w:r>
      <w:r>
        <w:rPr/>
        <w:t>warehouses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January</w:t>
      </w:r>
      <w:r>
        <w:rPr>
          <w:spacing w:val="-5"/>
        </w:rPr>
        <w:t> </w:t>
      </w:r>
      <w:r>
        <w:rPr/>
        <w:t>2023.</w:t>
      </w:r>
      <w:r>
        <w:rPr>
          <w:spacing w:val="59"/>
        </w:rPr>
        <w:t> </w:t>
      </w:r>
      <w:r>
        <w:rPr/>
        <w:t>AB</w:t>
      </w:r>
      <w:r>
        <w:rPr>
          <w:spacing w:val="-3"/>
        </w:rPr>
        <w:t> </w:t>
      </w:r>
      <w:r>
        <w:rPr/>
        <w:t>701 requires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regulation to be</w:t>
      </w:r>
      <w:r>
        <w:rPr>
          <w:spacing w:val="-1"/>
        </w:rPr>
        <w:t> </w:t>
      </w:r>
      <w:r>
        <w:rPr/>
        <w:t>“based</w:t>
      </w:r>
      <w:r>
        <w:rPr>
          <w:spacing w:val="1"/>
        </w:rPr>
        <w:t> </w:t>
      </w:r>
      <w:r>
        <w:rPr/>
        <w:t>on work activity</w:t>
      </w:r>
      <w:r>
        <w:rPr>
          <w:spacing w:val="-5"/>
        </w:rPr>
        <w:t> </w:t>
      </w:r>
      <w:r>
        <w:rPr/>
        <w:t>levels”,</w:t>
      </w:r>
      <w:r>
        <w:rPr>
          <w:spacing w:val="-57"/>
        </w:rPr>
        <w:t> </w:t>
      </w:r>
      <w:r>
        <w:rPr/>
        <w:t>measurement of production quotas, and safety data. In simple terms – AB 701 is drafted to force</w:t>
      </w:r>
      <w:r>
        <w:rPr>
          <w:spacing w:val="1"/>
        </w:rPr>
        <w:t> </w:t>
      </w:r>
      <w:r>
        <w:rPr/>
        <w:t>Cal/OSHA to define production quotas for warehouse employers, which is unprecedented. Neither</w:t>
      </w:r>
      <w:r>
        <w:rPr>
          <w:spacing w:val="1"/>
        </w:rPr>
        <w:t> </w:t>
      </w:r>
      <w:r>
        <w:rPr/>
        <w:t>Cal/OSHA, nor the Labor Commissioner has ever before been given authority to reach into a</w:t>
      </w:r>
      <w:r>
        <w:rPr>
          <w:spacing w:val="1"/>
        </w:rPr>
        <w:t> </w:t>
      </w:r>
      <w:r>
        <w:rPr/>
        <w:t>workplace and define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rate of</w:t>
      </w:r>
      <w:r>
        <w:rPr>
          <w:spacing w:val="-2"/>
        </w:rPr>
        <w:t> </w:t>
      </w:r>
      <w:r>
        <w:rPr/>
        <w:t>work to that degree.</w:t>
      </w:r>
    </w:p>
    <w:p>
      <w:pPr>
        <w:pStyle w:val="BodyText"/>
        <w:spacing w:before="1"/>
      </w:pPr>
    </w:p>
    <w:p>
      <w:pPr>
        <w:pStyle w:val="BodyText"/>
        <w:ind w:left="956" w:right="310"/>
      </w:pPr>
      <w:r>
        <w:rPr/>
        <w:t>AB 701 includes a host of new requirements and prohibitions for warehouse employers and then</w:t>
      </w:r>
      <w:r>
        <w:rPr>
          <w:spacing w:val="1"/>
        </w:rPr>
        <w:t> </w:t>
      </w:r>
      <w:r>
        <w:rPr/>
        <w:t>relies on a combination of the Labor Code Private Attorneys General Act (PAGA) and a new,</w:t>
      </w:r>
      <w:r>
        <w:rPr>
          <w:spacing w:val="1"/>
        </w:rPr>
        <w:t> </w:t>
      </w:r>
      <w:r>
        <w:rPr/>
        <w:t>independent private right of action to enforce its terms. Threats of litigation mean critical</w:t>
      </w:r>
      <w:r>
        <w:rPr>
          <w:spacing w:val="1"/>
        </w:rPr>
        <w:t> </w:t>
      </w:r>
      <w:r>
        <w:rPr/>
        <w:t>warehouses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state –</w:t>
      </w:r>
      <w:r>
        <w:rPr>
          <w:spacing w:val="-1"/>
        </w:rPr>
        <w:t> </w:t>
      </w:r>
      <w:r>
        <w:rPr/>
        <w:t>transporting</w:t>
      </w:r>
      <w:r>
        <w:rPr>
          <w:spacing w:val="-4"/>
        </w:rPr>
        <w:t> </w:t>
      </w:r>
      <w:r>
        <w:rPr/>
        <w:t>food,</w:t>
      </w:r>
      <w:r>
        <w:rPr>
          <w:spacing w:val="1"/>
        </w:rPr>
        <w:t> </w:t>
      </w:r>
      <w:r>
        <w:rPr/>
        <w:t>medical supplies,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household goods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face</w:t>
      </w:r>
      <w:r>
        <w:rPr>
          <w:spacing w:val="-57"/>
        </w:rPr>
        <w:t> </w:t>
      </w:r>
      <w:r>
        <w:rPr/>
        <w:t>litigation based on AB 701’s vague requirements, such as its requirement that performance metrics</w:t>
      </w:r>
      <w:r>
        <w:rPr>
          <w:spacing w:val="-57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 workers have</w:t>
      </w:r>
      <w:r>
        <w:rPr>
          <w:spacing w:val="1"/>
        </w:rPr>
        <w:t> </w:t>
      </w:r>
      <w:r>
        <w:rPr/>
        <w:t>time to</w:t>
      </w:r>
      <w:r>
        <w:rPr>
          <w:spacing w:val="-1"/>
        </w:rPr>
        <w:t> </w:t>
      </w:r>
      <w:r>
        <w:rPr/>
        <w:t>“comply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all</w:t>
      </w:r>
      <w:r>
        <w:rPr>
          <w:spacing w:val="5"/>
        </w:rPr>
        <w:t> </w:t>
      </w:r>
      <w:r>
        <w:rPr/>
        <w:t>health and safety</w:t>
      </w:r>
      <w:r>
        <w:rPr>
          <w:spacing w:val="-6"/>
        </w:rPr>
        <w:t> </w:t>
      </w:r>
      <w:r>
        <w:rPr/>
        <w:t>laws.”</w:t>
      </w:r>
    </w:p>
    <w:p>
      <w:pPr>
        <w:pStyle w:val="BodyText"/>
      </w:pPr>
    </w:p>
    <w:p>
      <w:pPr>
        <w:pStyle w:val="BodyText"/>
        <w:ind w:left="956" w:right="176"/>
      </w:pPr>
      <w:r>
        <w:rPr/>
        <w:t>AB 701</w:t>
      </w:r>
      <w:r>
        <w:rPr>
          <w:spacing w:val="3"/>
        </w:rPr>
        <w:t> </w:t>
      </w:r>
      <w:r>
        <w:rPr/>
        <w:t>includes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presumption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retaliation</w:t>
      </w:r>
      <w:r>
        <w:rPr>
          <w:spacing w:val="3"/>
        </w:rPr>
        <w:t> </w:t>
      </w:r>
      <w:r>
        <w:rPr/>
        <w:t>if</w:t>
      </w:r>
      <w:r>
        <w:rPr>
          <w:spacing w:val="4"/>
        </w:rPr>
        <w:t> </w:t>
      </w:r>
      <w:r>
        <w:rPr/>
        <w:t>an</w:t>
      </w:r>
      <w:r>
        <w:rPr>
          <w:spacing w:val="3"/>
        </w:rPr>
        <w:t> </w:t>
      </w:r>
      <w:r>
        <w:rPr/>
        <w:t>employer</w:t>
      </w:r>
      <w:r>
        <w:rPr>
          <w:spacing w:val="3"/>
        </w:rPr>
        <w:t> </w:t>
      </w:r>
      <w:r>
        <w:rPr/>
        <w:t>takes</w:t>
      </w:r>
      <w:r>
        <w:rPr>
          <w:spacing w:val="6"/>
        </w:rPr>
        <w:t> </w:t>
      </w:r>
      <w:r>
        <w:rPr/>
        <w:t>any</w:t>
      </w:r>
      <w:r>
        <w:rPr>
          <w:spacing w:val="-2"/>
        </w:rPr>
        <w:t> </w:t>
      </w:r>
      <w:r>
        <w:rPr/>
        <w:t>adverse</w:t>
      </w:r>
      <w:r>
        <w:rPr>
          <w:spacing w:val="2"/>
        </w:rPr>
        <w:t> </w:t>
      </w:r>
      <w:r>
        <w:rPr/>
        <w:t>action</w:t>
      </w:r>
      <w:r>
        <w:rPr>
          <w:spacing w:val="3"/>
        </w:rPr>
        <w:t> </w:t>
      </w:r>
      <w:r>
        <w:rPr/>
        <w:t>within</w:t>
      </w:r>
      <w:r>
        <w:rPr>
          <w:spacing w:val="3"/>
        </w:rPr>
        <w:t> </w:t>
      </w:r>
      <w:r>
        <w:rPr/>
        <w:t>90</w:t>
      </w:r>
      <w:r>
        <w:rPr>
          <w:spacing w:val="1"/>
        </w:rPr>
        <w:t> </w:t>
      </w:r>
      <w:r>
        <w:rPr/>
        <w:t>days of an employee “exercising any right under this part.”</w:t>
      </w:r>
      <w:r>
        <w:rPr>
          <w:spacing w:val="1"/>
        </w:rPr>
        <w:t> </w:t>
      </w:r>
      <w:r>
        <w:rPr/>
        <w:t>This is extremely problematic, since it</w:t>
      </w:r>
      <w:r>
        <w:rPr>
          <w:spacing w:val="1"/>
        </w:rPr>
        <w:t> </w:t>
      </w:r>
      <w:r>
        <w:rPr/>
        <w:t>could create a never-ending presumption of retaliation. For example, under AB 701, an employee is</w:t>
      </w:r>
      <w:r>
        <w:rPr>
          <w:spacing w:val="1"/>
        </w:rPr>
        <w:t> </w:t>
      </w:r>
      <w:r>
        <w:rPr/>
        <w:t>entitled to notice of their performance metrics whenever such metric change (which may be daily).</w:t>
      </w:r>
      <w:r>
        <w:rPr>
          <w:spacing w:val="1"/>
        </w:rPr>
        <w:t> </w:t>
      </w:r>
      <w:r>
        <w:rPr/>
        <w:t>This means an employee could easily voluntarily trigger a never-ending presumption pursuant to</w:t>
      </w:r>
      <w:r>
        <w:rPr>
          <w:spacing w:val="1"/>
        </w:rPr>
        <w:t> </w:t>
      </w:r>
      <w:r>
        <w:rPr/>
        <w:t>Section 2105. If an employee makes such a request every three months – which can be done orally –</w:t>
      </w:r>
      <w:r>
        <w:rPr>
          <w:spacing w:val="-57"/>
        </w:rPr>
        <w:t> </w:t>
      </w:r>
      <w:r>
        <w:rPr/>
        <w:t>that</w:t>
      </w:r>
      <w:r>
        <w:rPr>
          <w:spacing w:val="2"/>
        </w:rPr>
        <w:t> </w:t>
      </w:r>
      <w:r>
        <w:rPr/>
        <w:t>employee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perpetual</w:t>
      </w:r>
      <w:r>
        <w:rPr>
          <w:spacing w:val="3"/>
        </w:rPr>
        <w:t> </w:t>
      </w:r>
      <w:r>
        <w:rPr/>
        <w:t>presumption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any</w:t>
      </w:r>
      <w:r>
        <w:rPr>
          <w:spacing w:val="-2"/>
        </w:rPr>
        <w:t> </w:t>
      </w:r>
      <w:r>
        <w:rPr/>
        <w:t>disciplinary</w:t>
      </w:r>
      <w:r>
        <w:rPr>
          <w:spacing w:val="-3"/>
        </w:rPr>
        <w:t> </w:t>
      </w:r>
      <w:r>
        <w:rPr/>
        <w:t>action</w:t>
      </w:r>
      <w:r>
        <w:rPr>
          <w:spacing w:val="3"/>
        </w:rPr>
        <w:t> </w:t>
      </w:r>
      <w:r>
        <w:rPr/>
        <w:t>taken</w:t>
      </w:r>
      <w:r>
        <w:rPr>
          <w:spacing w:val="2"/>
        </w:rPr>
        <w:t> </w:t>
      </w:r>
      <w:r>
        <w:rPr/>
        <w:t>was</w:t>
      </w:r>
      <w:r>
        <w:rPr>
          <w:spacing w:val="1"/>
        </w:rPr>
        <w:t> </w:t>
      </w:r>
      <w:r>
        <w:rPr/>
        <w:t>retaliatory.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 serious</w:t>
      </w:r>
      <w:r>
        <w:rPr>
          <w:spacing w:val="1"/>
        </w:rPr>
        <w:t> </w:t>
      </w:r>
      <w:r>
        <w:rPr/>
        <w:t>misconduct and</w:t>
      </w:r>
      <w:r>
        <w:rPr>
          <w:spacing w:val="2"/>
        </w:rPr>
        <w:t> </w:t>
      </w:r>
      <w:r>
        <w:rPr/>
        <w:t>termination,</w:t>
      </w:r>
      <w:r>
        <w:rPr>
          <w:spacing w:val="1"/>
        </w:rPr>
        <w:t> </w:t>
      </w:r>
      <w:r>
        <w:rPr/>
        <w:t>the employer</w:t>
      </w:r>
      <w:r>
        <w:rPr>
          <w:spacing w:val="1"/>
        </w:rPr>
        <w:t> </w:t>
      </w:r>
      <w:r>
        <w:rPr/>
        <w:t>would then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forced</w:t>
      </w:r>
      <w:r>
        <w:rPr>
          <w:spacing w:val="1"/>
        </w:rPr>
        <w:t> </w:t>
      </w:r>
      <w:r>
        <w:rPr/>
        <w:t>to either pay the cost of retaining attorneys to demonstrate that discipline/termination was not</w:t>
      </w:r>
      <w:r>
        <w:rPr>
          <w:spacing w:val="1"/>
        </w:rPr>
        <w:t> </w:t>
      </w:r>
      <w:r>
        <w:rPr/>
        <w:t>retaliatory,</w:t>
      </w:r>
      <w:r>
        <w:rPr>
          <w:spacing w:val="-1"/>
        </w:rPr>
        <w:t> </w:t>
      </w:r>
      <w:r>
        <w:rPr/>
        <w:t>and/or to pay</w:t>
      </w:r>
      <w:r>
        <w:rPr>
          <w:spacing w:val="-4"/>
        </w:rPr>
        <w:t> </w:t>
      </w:r>
      <w:r>
        <w:rPr/>
        <w:t>to settle any</w:t>
      </w:r>
      <w:r>
        <w:rPr>
          <w:spacing w:val="-6"/>
        </w:rPr>
        <w:t> </w:t>
      </w:r>
      <w:r>
        <w:rPr/>
        <w:t>such allegations by</w:t>
      </w:r>
      <w:r>
        <w:rPr>
          <w:spacing w:val="-5"/>
        </w:rPr>
        <w:t> </w:t>
      </w:r>
      <w:r>
        <w:rPr/>
        <w:t>the employee. This presumption</w:t>
      </w:r>
      <w:r>
        <w:rPr>
          <w:spacing w:val="-1"/>
        </w:rPr>
        <w:t> </w:t>
      </w:r>
      <w:r>
        <w:rPr/>
        <w:t>creates a</w:t>
      </w:r>
    </w:p>
    <w:p>
      <w:pPr>
        <w:spacing w:after="0"/>
        <w:sectPr>
          <w:pgSz w:w="12240" w:h="15840"/>
          <w:pgMar w:header="0" w:footer="976" w:top="940" w:bottom="1240" w:left="340" w:right="1120"/>
        </w:sectPr>
      </w:pPr>
    </w:p>
    <w:p>
      <w:pPr>
        <w:pStyle w:val="BodyText"/>
        <w:spacing w:before="60"/>
        <w:ind w:left="956" w:right="965"/>
      </w:pPr>
      <w:r>
        <w:rPr/>
        <w:drawing>
          <wp:anchor distT="0" distB="0" distL="0" distR="0" allowOverlap="1" layoutInCell="1" locked="0" behindDoc="1" simplePos="0" relativeHeight="487447552">
            <wp:simplePos x="0" y="0"/>
            <wp:positionH relativeFrom="page">
              <wp:posOffset>1049386</wp:posOffset>
            </wp:positionH>
            <wp:positionV relativeFrom="page">
              <wp:posOffset>3410389</wp:posOffset>
            </wp:positionV>
            <wp:extent cx="1569639" cy="557402"/>
            <wp:effectExtent l="0" t="0" r="0" b="0"/>
            <wp:wrapNone/>
            <wp:docPr id="1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639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8064">
            <wp:simplePos x="0" y="0"/>
            <wp:positionH relativeFrom="page">
              <wp:posOffset>2931160</wp:posOffset>
            </wp:positionH>
            <wp:positionV relativeFrom="page">
              <wp:posOffset>3481507</wp:posOffset>
            </wp:positionV>
            <wp:extent cx="1806625" cy="502920"/>
            <wp:effectExtent l="0" t="0" r="0" b="0"/>
            <wp:wrapNone/>
            <wp:docPr id="15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62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8576">
            <wp:simplePos x="0" y="0"/>
            <wp:positionH relativeFrom="page">
              <wp:posOffset>5008653</wp:posOffset>
            </wp:positionH>
            <wp:positionV relativeFrom="page">
              <wp:posOffset>3439681</wp:posOffset>
            </wp:positionV>
            <wp:extent cx="1805108" cy="476726"/>
            <wp:effectExtent l="0" t="0" r="0" b="0"/>
            <wp:wrapNone/>
            <wp:docPr id="17" name="image23.jpeg" descr="C:\Users\LPortillo\AppData\Local\Microsoft\Windows\INetCache\Content.Outlook\XPRQ9UMD\Signatur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108" cy="476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9088">
            <wp:simplePos x="0" y="0"/>
            <wp:positionH relativeFrom="page">
              <wp:posOffset>1059082</wp:posOffset>
            </wp:positionH>
            <wp:positionV relativeFrom="page">
              <wp:posOffset>4692334</wp:posOffset>
            </wp:positionV>
            <wp:extent cx="1347454" cy="401764"/>
            <wp:effectExtent l="0" t="0" r="0" b="0"/>
            <wp:wrapNone/>
            <wp:docPr id="19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54" cy="40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9600">
            <wp:simplePos x="0" y="0"/>
            <wp:positionH relativeFrom="page">
              <wp:posOffset>2979418</wp:posOffset>
            </wp:positionH>
            <wp:positionV relativeFrom="page">
              <wp:posOffset>4495800</wp:posOffset>
            </wp:positionV>
            <wp:extent cx="1484599" cy="744093"/>
            <wp:effectExtent l="0" t="0" r="0" b="0"/>
            <wp:wrapNone/>
            <wp:docPr id="21" name="image25.jpeg" descr="I:\IEEP Shared\IEEP Public Policy\Inland Empire Chamber Alliance\Signatures\Peggi Hazlett Signatur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599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0112">
            <wp:simplePos x="0" y="0"/>
            <wp:positionH relativeFrom="page">
              <wp:posOffset>5139435</wp:posOffset>
            </wp:positionH>
            <wp:positionV relativeFrom="page">
              <wp:posOffset>4769756</wp:posOffset>
            </wp:positionV>
            <wp:extent cx="1295447" cy="284702"/>
            <wp:effectExtent l="0" t="0" r="0" b="0"/>
            <wp:wrapNone/>
            <wp:docPr id="23" name="image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47" cy="28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0624">
            <wp:simplePos x="0" y="0"/>
            <wp:positionH relativeFrom="page">
              <wp:posOffset>958001</wp:posOffset>
            </wp:positionH>
            <wp:positionV relativeFrom="page">
              <wp:posOffset>5744083</wp:posOffset>
            </wp:positionV>
            <wp:extent cx="1816211" cy="606171"/>
            <wp:effectExtent l="0" t="0" r="0" b="0"/>
            <wp:wrapNone/>
            <wp:docPr id="25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211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1136">
            <wp:simplePos x="0" y="0"/>
            <wp:positionH relativeFrom="page">
              <wp:posOffset>2936132</wp:posOffset>
            </wp:positionH>
            <wp:positionV relativeFrom="page">
              <wp:posOffset>5818716</wp:posOffset>
            </wp:positionV>
            <wp:extent cx="1844970" cy="371475"/>
            <wp:effectExtent l="0" t="0" r="0" b="0"/>
            <wp:wrapNone/>
            <wp:docPr id="27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97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1648">
            <wp:simplePos x="0" y="0"/>
            <wp:positionH relativeFrom="page">
              <wp:posOffset>5021277</wp:posOffset>
            </wp:positionH>
            <wp:positionV relativeFrom="page">
              <wp:posOffset>5764924</wp:posOffset>
            </wp:positionV>
            <wp:extent cx="1800628" cy="393953"/>
            <wp:effectExtent l="0" t="0" r="0" b="0"/>
            <wp:wrapNone/>
            <wp:docPr id="2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28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199997pt;margin-top:548.883972pt;width:288.150pt;height:52.8pt;mso-position-horizontal-relative:page;mso-position-vertical-relative:page;z-index:-15864320" id="docshapegroup19" coordorigin="1404,10978" coordsize="5763,1056">
            <v:shape style="position:absolute;left:1404;top:10977;width:3212;height:792" type="#_x0000_t75" id="docshape20" stroked="false">
              <v:imagedata r:id="rId35" o:title=""/>
            </v:shape>
            <v:shape style="position:absolute;left:4616;top:10977;width:2551;height:1056" type="#_x0000_t75" id="docshape21" alt="I:\IEEP Shared\IEEP Public Policy\Inland Empire Chamber Alliance\Signatures\Patrick Ellis Signature-Black.jpg" stroked="false">
              <v:imagedata r:id="rId3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52672">
            <wp:simplePos x="0" y="0"/>
            <wp:positionH relativeFrom="page">
              <wp:posOffset>5010838</wp:posOffset>
            </wp:positionH>
            <wp:positionV relativeFrom="page">
              <wp:posOffset>7035393</wp:posOffset>
            </wp:positionV>
            <wp:extent cx="1817604" cy="582739"/>
            <wp:effectExtent l="0" t="0" r="0" b="0"/>
            <wp:wrapNone/>
            <wp:docPr id="3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604" cy="582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constant</w:t>
      </w:r>
      <w:r>
        <w:rPr>
          <w:spacing w:val="-1"/>
        </w:rPr>
        <w:t> </w:t>
      </w:r>
      <w:r>
        <w:rPr/>
        <w:t>bargaining</w:t>
      </w:r>
      <w:r>
        <w:rPr>
          <w:spacing w:val="-2"/>
        </w:rPr>
        <w:t> </w:t>
      </w:r>
      <w:r>
        <w:rPr/>
        <w:t>chip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the employee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leverage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costly</w:t>
      </w:r>
      <w:r>
        <w:rPr>
          <w:spacing w:val="-6"/>
        </w:rPr>
        <w:t> </w:t>
      </w:r>
      <w:r>
        <w:rPr/>
        <w:t>settlement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employer</w:t>
      </w:r>
      <w:r>
        <w:rPr>
          <w:spacing w:val="-57"/>
        </w:rPr>
        <w:t> </w:t>
      </w:r>
      <w:r>
        <w:rPr/>
        <w:t>regardless</w:t>
      </w:r>
      <w:r>
        <w:rPr>
          <w:spacing w:val="-1"/>
        </w:rPr>
        <w:t> </w:t>
      </w:r>
      <w:r>
        <w:rPr/>
        <w:t>of whether any</w:t>
      </w:r>
      <w:r>
        <w:rPr>
          <w:spacing w:val="-3"/>
        </w:rPr>
        <w:t> </w:t>
      </w:r>
      <w:r>
        <w:rPr/>
        <w:t>actual retaliation occurred.</w:t>
      </w:r>
    </w:p>
    <w:p>
      <w:pPr>
        <w:pStyle w:val="BodyText"/>
      </w:pPr>
    </w:p>
    <w:p>
      <w:pPr>
        <w:pStyle w:val="BodyText"/>
        <w:ind w:left="956" w:right="241"/>
      </w:pPr>
      <w:r>
        <w:rPr/>
        <w:t>For these reasons and others, we oppose your bill, AB 701.</w:t>
      </w:r>
      <w:r>
        <w:rPr>
          <w:spacing w:val="1"/>
        </w:rPr>
        <w:t> </w:t>
      </w:r>
      <w:r>
        <w:rPr/>
        <w:t>If you have any questions or would like</w:t>
      </w:r>
      <w:r>
        <w:rPr>
          <w:spacing w:val="-57"/>
        </w:rPr>
        <w:t> </w:t>
      </w:r>
      <w:r>
        <w:rPr/>
        <w:t>to discuss our position in greater detail, please contact Luis Portillo at 909-944-2201 or by email at</w:t>
      </w:r>
      <w:r>
        <w:rPr>
          <w:spacing w:val="1"/>
        </w:rPr>
        <w:t> </w:t>
      </w:r>
      <w:hyperlink r:id="rId38">
        <w:r>
          <w:rPr/>
          <w:t>lportillo@ieep.com.</w:t>
        </w:r>
      </w:hyperlink>
      <w:r>
        <w:rPr>
          <w:spacing w:val="-1"/>
        </w:rPr>
        <w:t> </w:t>
      </w:r>
      <w:r>
        <w:rPr/>
        <w:t>Thank</w:t>
      </w:r>
      <w:r>
        <w:rPr>
          <w:spacing w:val="2"/>
        </w:rPr>
        <w:t> </w:t>
      </w:r>
      <w:r>
        <w:rPr/>
        <w:t>you.</w:t>
      </w:r>
    </w:p>
    <w:p>
      <w:pPr>
        <w:pStyle w:val="BodyText"/>
      </w:pPr>
    </w:p>
    <w:p>
      <w:pPr>
        <w:pStyle w:val="BodyText"/>
        <w:ind w:left="956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1024217</wp:posOffset>
            </wp:positionH>
            <wp:positionV relativeFrom="paragraph">
              <wp:posOffset>312800</wp:posOffset>
            </wp:positionV>
            <wp:extent cx="1743490" cy="624458"/>
            <wp:effectExtent l="0" t="0" r="0" b="0"/>
            <wp:wrapNone/>
            <wp:docPr id="33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90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2964401</wp:posOffset>
            </wp:positionH>
            <wp:positionV relativeFrom="paragraph">
              <wp:posOffset>488661</wp:posOffset>
            </wp:positionV>
            <wp:extent cx="1845382" cy="466915"/>
            <wp:effectExtent l="0" t="0" r="0" b="0"/>
            <wp:wrapNone/>
            <wp:docPr id="35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82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Sincerely,</w:t>
      </w: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5004651</wp:posOffset>
            </wp:positionH>
            <wp:positionV relativeFrom="paragraph">
              <wp:posOffset>151122</wp:posOffset>
            </wp:positionV>
            <wp:extent cx="1640560" cy="603503"/>
            <wp:effectExtent l="0" t="0" r="0" b="0"/>
            <wp:wrapTopAndBottom/>
            <wp:docPr id="37" name="image35.jpeg" descr="I:\IEEP Shared\IEEP Public Policy\Inland Empire Chamber Alliance\Signatures\Zeb Welborn Signatur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5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560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9"/>
        <w:gridCol w:w="3323"/>
        <w:gridCol w:w="3295"/>
      </w:tblGrid>
      <w:tr>
        <w:trPr>
          <w:trHeight w:val="1299" w:hRule="atLeast"/>
        </w:trPr>
        <w:tc>
          <w:tcPr>
            <w:tcW w:w="317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Bette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Rader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Beaumont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323" w:type="dxa"/>
          </w:tcPr>
          <w:p>
            <w:pPr>
              <w:pStyle w:val="TableParagraph"/>
              <w:spacing w:line="229" w:lineRule="exact" w:before="50"/>
              <w:ind w:left="232"/>
              <w:rPr>
                <w:sz w:val="20"/>
              </w:rPr>
            </w:pPr>
            <w:r>
              <w:rPr>
                <w:sz w:val="20"/>
              </w:rPr>
              <w:t>Ellen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Clarke</w:t>
            </w:r>
          </w:p>
          <w:p>
            <w:pPr>
              <w:pStyle w:val="TableParagraph"/>
              <w:spacing w:line="229" w:lineRule="exact"/>
              <w:ind w:left="232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295" w:type="dxa"/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Zeb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Welborn</w:t>
            </w:r>
          </w:p>
          <w:p>
            <w:pPr>
              <w:pStyle w:val="TableParagraph"/>
              <w:spacing w:before="1"/>
              <w:ind w:left="123" w:right="1099"/>
              <w:rPr>
                <w:sz w:val="20"/>
              </w:rPr>
            </w:pPr>
            <w:r>
              <w:rPr>
                <w:sz w:val="20"/>
              </w:rPr>
              <w:t>Chino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Valley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</w:tr>
      <w:tr>
        <w:trPr>
          <w:trHeight w:val="1878" w:hRule="atLeast"/>
        </w:trPr>
        <w:tc>
          <w:tcPr>
            <w:tcW w:w="31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Bobby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Spiegel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Corona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3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9" w:lineRule="exact" w:before="170"/>
              <w:ind w:left="232"/>
              <w:rPr>
                <w:sz w:val="20"/>
              </w:rPr>
            </w:pPr>
            <w:r>
              <w:rPr>
                <w:sz w:val="20"/>
              </w:rPr>
              <w:t>Andrea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Leon</w:t>
            </w:r>
          </w:p>
          <w:p>
            <w:pPr>
              <w:pStyle w:val="TableParagraph"/>
              <w:spacing w:line="229" w:lineRule="exact"/>
              <w:ind w:left="232"/>
              <w:rPr>
                <w:sz w:val="20"/>
              </w:rPr>
            </w:pPr>
            <w:r>
              <w:rPr>
                <w:sz w:val="20"/>
              </w:rPr>
              <w:t>Fontana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2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Joshua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Bonner</w:t>
            </w:r>
          </w:p>
          <w:p>
            <w:pPr>
              <w:pStyle w:val="TableParagraph"/>
              <w:ind w:left="123" w:right="357"/>
              <w:rPr>
                <w:sz w:val="20"/>
              </w:rPr>
            </w:pPr>
            <w:r>
              <w:rPr>
                <w:sz w:val="20"/>
              </w:rPr>
              <w:t>Greater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Coachella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Valley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</w:tr>
      <w:tr>
        <w:trPr>
          <w:trHeight w:val="1913" w:hRule="atLeast"/>
        </w:trPr>
        <w:tc>
          <w:tcPr>
            <w:tcW w:w="31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Creffield</w:t>
            </w:r>
          </w:p>
          <w:p>
            <w:pPr>
              <w:pStyle w:val="TableParagraph"/>
              <w:spacing w:before="1"/>
              <w:ind w:left="200" w:right="337"/>
              <w:rPr>
                <w:sz w:val="20"/>
              </w:rPr>
            </w:pPr>
            <w:r>
              <w:rPr>
                <w:sz w:val="20"/>
              </w:rPr>
              <w:t>Greater High Desert Chamber of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3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232"/>
              <w:rPr>
                <w:sz w:val="20"/>
              </w:rPr>
            </w:pPr>
            <w:r>
              <w:rPr>
                <w:sz w:val="20"/>
              </w:rPr>
              <w:t>Peggi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Hazlett</w:t>
            </w:r>
          </w:p>
          <w:p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Ontario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Council</w:t>
            </w:r>
          </w:p>
        </w:tc>
        <w:tc>
          <w:tcPr>
            <w:tcW w:w="32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Cyndi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Lemke</w:t>
            </w:r>
          </w:p>
          <w:p>
            <w:pPr>
              <w:pStyle w:val="TableParagraph"/>
              <w:ind w:left="123" w:right="670"/>
              <w:rPr>
                <w:sz w:val="20"/>
              </w:rPr>
            </w:pPr>
            <w:r>
              <w:rPr>
                <w:sz w:val="20"/>
              </w:rPr>
              <w:t>Hemet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</w:tr>
      <w:tr>
        <w:trPr>
          <w:trHeight w:val="1823" w:hRule="atLeast"/>
        </w:trPr>
        <w:tc>
          <w:tcPr>
            <w:tcW w:w="31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Chris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Nielsen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Highland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3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Paul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Granillo</w:t>
            </w:r>
          </w:p>
          <w:p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Inland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Economic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Partnership</w:t>
            </w:r>
          </w:p>
        </w:tc>
        <w:tc>
          <w:tcPr>
            <w:tcW w:w="32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123"/>
              <w:rPr>
                <w:sz w:val="20"/>
              </w:rPr>
            </w:pPr>
            <w:r>
              <w:rPr>
                <w:sz w:val="20"/>
              </w:rPr>
              <w:t>Maneesha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Jones</w:t>
            </w:r>
          </w:p>
          <w:p>
            <w:pPr>
              <w:pStyle w:val="TableParagraph"/>
              <w:ind w:left="123" w:right="919"/>
              <w:rPr>
                <w:sz w:val="20"/>
              </w:rPr>
            </w:pPr>
            <w:r>
              <w:rPr>
                <w:sz w:val="20"/>
              </w:rPr>
              <w:t>Menifee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Valley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</w:tr>
      <w:tr>
        <w:trPr>
          <w:trHeight w:val="1405" w:hRule="atLeast"/>
        </w:trPr>
        <w:tc>
          <w:tcPr>
            <w:tcW w:w="31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5"/>
              <w:ind w:left="200"/>
              <w:rPr>
                <w:sz w:val="20"/>
              </w:rPr>
            </w:pPr>
            <w:r>
              <w:rPr>
                <w:sz w:val="20"/>
              </w:rPr>
              <w:t>Oscar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Valdepeña</w:t>
            </w:r>
          </w:p>
          <w:p>
            <w:pPr>
              <w:pStyle w:val="TableParagraph"/>
              <w:ind w:left="200" w:right="762"/>
              <w:rPr>
                <w:sz w:val="20"/>
              </w:rPr>
            </w:pPr>
            <w:r>
              <w:rPr>
                <w:sz w:val="20"/>
              </w:rPr>
              <w:t>Moreno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Valley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3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0" w:lineRule="atLeast" w:before="189"/>
              <w:ind w:left="232" w:right="505"/>
              <w:rPr>
                <w:sz w:val="20"/>
              </w:rPr>
            </w:pPr>
            <w:r>
              <w:rPr>
                <w:sz w:val="20"/>
              </w:rPr>
              <w:t>Patrick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Ellis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Murrieta/Wildomar Chamber of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2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29" w:lineRule="exact" w:before="1"/>
              <w:ind w:left="123"/>
              <w:rPr>
                <w:sz w:val="20"/>
              </w:rPr>
            </w:pPr>
            <w:r>
              <w:rPr>
                <w:sz w:val="20"/>
              </w:rPr>
              <w:t>Ignacio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Valdivia</w:t>
            </w:r>
          </w:p>
          <w:p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Perris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Valley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0" w:footer="976" w:top="940" w:bottom="1240" w:left="340" w:right="1120"/>
        </w:sectPr>
      </w:pPr>
    </w:p>
    <w:p>
      <w:pPr>
        <w:tabs>
          <w:tab w:pos="4378" w:val="left" w:leader="none"/>
          <w:tab w:pos="7549" w:val="left" w:leader="none"/>
        </w:tabs>
        <w:spacing w:line="240" w:lineRule="auto" w:after="33"/>
        <w:ind w:left="1064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53184">
            <wp:simplePos x="0" y="0"/>
            <wp:positionH relativeFrom="page">
              <wp:posOffset>891539</wp:posOffset>
            </wp:positionH>
            <wp:positionV relativeFrom="page">
              <wp:posOffset>1866900</wp:posOffset>
            </wp:positionV>
            <wp:extent cx="1181375" cy="765905"/>
            <wp:effectExtent l="0" t="0" r="0" b="0"/>
            <wp:wrapNone/>
            <wp:docPr id="39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375" cy="76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53696">
            <wp:simplePos x="0" y="0"/>
            <wp:positionH relativeFrom="page">
              <wp:posOffset>3005448</wp:posOffset>
            </wp:positionH>
            <wp:positionV relativeFrom="page">
              <wp:posOffset>1941161</wp:posOffset>
            </wp:positionV>
            <wp:extent cx="1755530" cy="672083"/>
            <wp:effectExtent l="0" t="0" r="0" b="0"/>
            <wp:wrapNone/>
            <wp:docPr id="41" name="image3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7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530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5"/>
          <w:sz w:val="20"/>
        </w:rPr>
        <w:drawing>
          <wp:inline distT="0" distB="0" distL="0" distR="0">
            <wp:extent cx="1889393" cy="359664"/>
            <wp:effectExtent l="0" t="0" r="0" b="0"/>
            <wp:docPr id="43" name="image3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8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393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position w:val="17"/>
          <w:sz w:val="20"/>
        </w:rPr>
        <w:drawing>
          <wp:inline distT="0" distB="0" distL="0" distR="0">
            <wp:extent cx="1880876" cy="508063"/>
            <wp:effectExtent l="0" t="0" r="0" b="0"/>
            <wp:docPr id="45" name="image39.jpeg" descr="I:\IEEP Shared\IEEP Public Policy\Inland Empire Chamber Alliance\Signatures\Robert Hufnagel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6" cy="50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sz w:val="20"/>
        </w:rPr>
        <w:drawing>
          <wp:inline distT="0" distB="0" distL="0" distR="0">
            <wp:extent cx="1773343" cy="461486"/>
            <wp:effectExtent l="0" t="0" r="0" b="0"/>
            <wp:docPr id="47" name="image4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0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343" cy="46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3230"/>
        <w:gridCol w:w="3167"/>
      </w:tblGrid>
      <w:tr>
        <w:trPr>
          <w:trHeight w:val="1373" w:hRule="atLeast"/>
        </w:trPr>
        <w:tc>
          <w:tcPr>
            <w:tcW w:w="3095" w:type="dxa"/>
          </w:tcPr>
          <w:p>
            <w:pPr>
              <w:pStyle w:val="TableParagraph"/>
              <w:spacing w:line="229" w:lineRule="exact" w:before="94"/>
              <w:ind w:left="200"/>
              <w:rPr>
                <w:sz w:val="20"/>
              </w:rPr>
            </w:pPr>
            <w:r>
              <w:rPr>
                <w:sz w:val="20"/>
              </w:rPr>
              <w:t>Monique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Manzanares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Pomona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230" w:type="dxa"/>
          </w:tcPr>
          <w:p>
            <w:pPr>
              <w:pStyle w:val="TableParagraph"/>
              <w:spacing w:before="24"/>
              <w:ind w:left="316"/>
              <w:rPr>
                <w:sz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Hufnagel</w:t>
            </w:r>
          </w:p>
          <w:p>
            <w:pPr>
              <w:pStyle w:val="TableParagraph"/>
              <w:spacing w:before="1"/>
              <w:ind w:left="316" w:right="278"/>
              <w:rPr>
                <w:sz w:val="20"/>
              </w:rPr>
            </w:pPr>
            <w:r>
              <w:rPr>
                <w:sz w:val="20"/>
              </w:rPr>
              <w:t>Rancho Cucamonga Chamber of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167" w:type="dxa"/>
          </w:tcPr>
          <w:p>
            <w:pPr>
              <w:pStyle w:val="TableParagraph"/>
              <w:spacing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Hudson</w:t>
            </w:r>
          </w:p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Redlands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</w:tr>
      <w:tr>
        <w:trPr>
          <w:trHeight w:val="1342" w:hRule="atLeast"/>
        </w:trPr>
        <w:tc>
          <w:tcPr>
            <w:tcW w:w="30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6"/>
              <w:ind w:left="200"/>
              <w:rPr>
                <w:sz w:val="20"/>
              </w:rPr>
            </w:pPr>
            <w:r>
              <w:rPr>
                <w:sz w:val="20"/>
              </w:rPr>
              <w:t>Emily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Falappino</w:t>
            </w:r>
          </w:p>
          <w:p>
            <w:pPr>
              <w:pStyle w:val="TableParagraph"/>
              <w:spacing w:line="230" w:lineRule="atLeast"/>
              <w:ind w:left="200" w:right="521"/>
              <w:rPr>
                <w:sz w:val="20"/>
              </w:rPr>
            </w:pPr>
            <w:r>
              <w:rPr>
                <w:sz w:val="20"/>
              </w:rPr>
              <w:t>Temecula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Valley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2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Peggy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Robertson</w:t>
            </w:r>
          </w:p>
          <w:p>
            <w:pPr>
              <w:pStyle w:val="TableParagraph"/>
              <w:spacing w:before="1"/>
              <w:ind w:left="316"/>
              <w:rPr>
                <w:sz w:val="20"/>
              </w:rPr>
            </w:pPr>
            <w:r>
              <w:rPr>
                <w:sz w:val="20"/>
              </w:rPr>
              <w:t>Upland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Commerce</w:t>
            </w:r>
          </w:p>
        </w:tc>
        <w:tc>
          <w:tcPr>
            <w:tcW w:w="316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2240" w:h="15840"/>
      <w:pgMar w:header="0" w:footer="976" w:top="1120" w:bottom="1160" w:left="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130005pt;margin-top:728.216003pt;width:143.7pt;height:28.65pt;mso-position-horizontal-relative:page;mso-position-vertical-relative:page;z-index:-15874048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2" w:right="0" w:firstLine="0"/>
                  <w:jc w:val="center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Calibri"/>
                    <w:sz w:val="24"/>
                  </w:rPr>
                  <w:t>of </w:t>
                </w:r>
                <w:r>
                  <w:rPr>
                    <w:rFonts w:ascii="Calibri"/>
                    <w:b/>
                    <w:sz w:val="24"/>
                  </w:rPr>
                  <w:t>4</w:t>
                </w:r>
              </w:p>
              <w:p>
                <w:pPr>
                  <w:pStyle w:val="BodyText"/>
                  <w:jc w:val="center"/>
                  <w:rPr>
                    <w:rFonts w:ascii="Calibri"/>
                  </w:rPr>
                </w:pPr>
                <w:hyperlink r:id="rId1">
                  <w:r>
                    <w:rPr>
                      <w:rFonts w:ascii="Calibri"/>
                      <w:color w:val="0462C1"/>
                      <w:u w:val="single" w:color="0462C1"/>
                    </w:rPr>
                    <w:t>www.iechamberalliance.com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956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jpe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pn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png"/><Relationship Id="rId38" Type="http://schemas.openxmlformats.org/officeDocument/2006/relationships/hyperlink" Target="mailto:lportillo@ieep.com" TargetMode="External"/><Relationship Id="rId39" Type="http://schemas.openxmlformats.org/officeDocument/2006/relationships/image" Target="media/image33.jpeg"/><Relationship Id="rId40" Type="http://schemas.openxmlformats.org/officeDocument/2006/relationships/image" Target="media/image34.jpeg"/><Relationship Id="rId41" Type="http://schemas.openxmlformats.org/officeDocument/2006/relationships/image" Target="media/image35.jpeg"/><Relationship Id="rId42" Type="http://schemas.openxmlformats.org/officeDocument/2006/relationships/image" Target="media/image36.jpeg"/><Relationship Id="rId43" Type="http://schemas.openxmlformats.org/officeDocument/2006/relationships/image" Target="media/image37.jpeg"/><Relationship Id="rId44" Type="http://schemas.openxmlformats.org/officeDocument/2006/relationships/image" Target="media/image38.jpeg"/><Relationship Id="rId45" Type="http://schemas.openxmlformats.org/officeDocument/2006/relationships/image" Target="media/image39.jpeg"/><Relationship Id="rId46" Type="http://schemas.openxmlformats.org/officeDocument/2006/relationships/image" Target="media/image40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chamberallianc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Saffold</dc:creator>
  <dcterms:created xsi:type="dcterms:W3CDTF">2021-06-01T17:08:03Z</dcterms:created>
  <dcterms:modified xsi:type="dcterms:W3CDTF">2021-06-01T17:08:03Z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</Properties>
</file>